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25B9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25B95" w:rsidRDefault="00EE2DE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25B95" w:rsidRDefault="00EE2DED">
            <w:pPr>
              <w:spacing w:after="0" w:line="240" w:lineRule="auto"/>
            </w:pPr>
            <w:r>
              <w:t>38149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25B95" w:rsidRDefault="00EE2DE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25B95" w:rsidRDefault="00EE2DED">
            <w:pPr>
              <w:spacing w:after="0" w:line="240" w:lineRule="auto"/>
            </w:pPr>
            <w:r>
              <w:t>ŽUPANIJSKA UPRAVA ZA CESTE  NA PODRUČJU ŠIBENSKO-KNINSKE ŽUPANIJE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25B95" w:rsidRDefault="00EE2DE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25B95" w:rsidRDefault="00EE2DED">
            <w:pPr>
              <w:spacing w:after="0" w:line="240" w:lineRule="auto"/>
            </w:pPr>
            <w:r>
              <w:t>42</w:t>
            </w:r>
          </w:p>
        </w:tc>
      </w:tr>
    </w:tbl>
    <w:p w:rsidR="00025B95" w:rsidRDefault="00EE2DED">
      <w:r>
        <w:br/>
      </w:r>
    </w:p>
    <w:p w:rsidR="00025B95" w:rsidRDefault="00EE2DE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25B95" w:rsidRDefault="00EE2DE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25B95" w:rsidRDefault="00EE2DE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5.924.060,93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5.220.496,20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88,1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</w:t>
            </w:r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5.356.076,97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5.313.652,67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99,2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025B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93.156,47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5.722,20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162.257,05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565.579,49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348,6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025B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156.534,85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565.579,49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361,3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025B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150,0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025B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808.735,96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>U 2025. godini ostvaren je manjak prihoda nad rashodima u iznosu od 808.735,96 EUR-a, a odnosi se na manjak prihoda poslovanja 93.156,47 EUR, manjak prihoda od nefinancijske imovine 565.579,49 EUR i manjak prihoda od financijske imovine i zaduživanja 150.0</w:t>
      </w:r>
      <w:r>
        <w:t xml:space="preserve">00,00 EUR. Kada se to odbije od prenesenog viška iz 2024. godine koji </w:t>
      </w:r>
      <w:proofErr w:type="spellStart"/>
      <w:r>
        <w:t>izmnosi</w:t>
      </w:r>
      <w:proofErr w:type="spellEnd"/>
      <w:r>
        <w:t xml:space="preserve"> 2.721.430,95 EUR, dobije se iznos od 1.912.694,99 EUR koji se prenosi u 2026. godinu.</w:t>
      </w:r>
    </w:p>
    <w:p w:rsidR="00025B95" w:rsidRDefault="00EE2DED">
      <w:r>
        <w:lastRenderedPageBreak/>
        <w:br/>
      </w:r>
    </w:p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1.648.156,37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694.460,09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42,1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 xml:space="preserve">Ostvareno je manje prihoda po ovoj osnovi iz razloga jer je iz MMPiI tijekom 2025.g </w:t>
      </w:r>
      <w:proofErr w:type="spellStart"/>
      <w:r>
        <w:t>uprihodovano</w:t>
      </w:r>
      <w:proofErr w:type="spellEnd"/>
      <w:r>
        <w:t xml:space="preserve"> 603.644,73 EUR ,dok je 2024. godine po ovoj osnovi ostvaren prihod od 1.614.073,33 EUR. Razlika je 1.010.428,60 EUR.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1.648.156,37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694.460,09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42,1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 xml:space="preserve">Ostvareno je manje prihoda po ovoj osnovi iz razloga jer je iz MMPiI tijekom 2025.g </w:t>
      </w:r>
      <w:proofErr w:type="spellStart"/>
      <w:r>
        <w:t>uprihodovano</w:t>
      </w:r>
      <w:proofErr w:type="spellEnd"/>
      <w:r>
        <w:t xml:space="preserve"> 603.644,73 EUR ,dok je 2024. godine po ovoj osnovi ostvaren prihod od 1.614.073,33 EUR. Razlika je 1.010.428,60 EUR.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14.939,48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30.952,72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207,2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>Ostvaren je veći prihod po ovoj osnovi iz razloga što je od LISTOPADA 2025. godine dana u zakup i poslovna zgrada MF - Carinska uprava - Područni ured Split sa lokacijom u Šibeniku.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8.494,69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473,9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lastRenderedPageBreak/>
        <w:t xml:space="preserve">Ostvareno je više prihoda po ovoj osnovi jer je tijekom 2025.godine tvrtka Stop shop </w:t>
      </w:r>
      <w:proofErr w:type="spellStart"/>
      <w:r>
        <w:t>developmnet</w:t>
      </w:r>
      <w:proofErr w:type="spellEnd"/>
      <w:r>
        <w:t xml:space="preserve"> d.o.o. sukladno ugovoru refundirala iznos od 5.627,60 EUR za usluge sudskih vještaka za graditeljstvo, poljoprivredu i geodeziju.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8.494,69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473,9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 xml:space="preserve">Ostvareno je više prihoda po ovoj osnovi jer je tijekom 2025.godine tvrtka Stop shop </w:t>
      </w:r>
      <w:proofErr w:type="spellStart"/>
      <w:r>
        <w:t>developmnet</w:t>
      </w:r>
      <w:proofErr w:type="spellEnd"/>
      <w:r>
        <w:t xml:space="preserve"> d.o.o. sukladno ugovoru refundirala iznos od 5.627,60 EUR za usluge sudskih vještaka za graditeljstvo, poljoprivredu i geodeziju.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8.494,69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473,9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 xml:space="preserve">Ostvareno je više prihoda po ovoj osnovi jer je tijekom 2025.godine tvrtka Stop shop </w:t>
      </w:r>
      <w:proofErr w:type="spellStart"/>
      <w:r>
        <w:t>developmnet</w:t>
      </w:r>
      <w:proofErr w:type="spellEnd"/>
      <w:r>
        <w:t xml:space="preserve"> d.o.o. sukladno ugovoru refundirala iznos od 5.627,60 EUR za usluge sudskih vještaka za graditeljstvo, poljoprivredu i geodeziju.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279.802,05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345.893,19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 xml:space="preserve">Do povećanja rashoda je došlo zbog zatvaranja konta 193 Kontinuirani rashodi budućih razdoblja, te je trošak za jedan mjesec prebačen na </w:t>
      </w:r>
      <w:proofErr w:type="spellStart"/>
      <w:r>
        <w:t>ovak</w:t>
      </w:r>
      <w:proofErr w:type="spellEnd"/>
      <w:r>
        <w:t xml:space="preserve"> konto.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226.556,07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279.188,65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lastRenderedPageBreak/>
        <w:t xml:space="preserve">Do povećanja rashoda je došlo zbog zatvaranja konta 193 Kontinuirani rashodi budućih razdoblja, te je trošak za jedan mjesec prebačen na </w:t>
      </w:r>
      <w:proofErr w:type="spellStart"/>
      <w:r>
        <w:t>ovak</w:t>
      </w:r>
      <w:proofErr w:type="spellEnd"/>
      <w:r>
        <w:t xml:space="preserve"> konto.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226.556,07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279.188,65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 xml:space="preserve">Do povećanja rashoda je došlo zbog zatvaranja konta 193 Kontinuirani rashodi budućih razdoblja, te je trošak za jedan mjesec prebačen na </w:t>
      </w:r>
      <w:proofErr w:type="spellStart"/>
      <w:r>
        <w:t>ovak</w:t>
      </w:r>
      <w:proofErr w:type="spellEnd"/>
      <w:r>
        <w:t xml:space="preserve"> konto.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37.380,14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45.696,14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>Do povećanja je došlo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37.380,14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45.696,14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 xml:space="preserve">Do povećanja rashoda je došlo zbog zatvaranja konta 193 Kontinuirani rashodi budućih razdoblja, pa je trošak za jedan mjesec prebačen na </w:t>
      </w:r>
      <w:proofErr w:type="spellStart"/>
      <w:r>
        <w:t>Doprionosa</w:t>
      </w:r>
      <w:proofErr w:type="spellEnd"/>
      <w:r>
        <w:t xml:space="preserve"> za obvezno zdravstveno osiguranje prebačen na ovaj konto.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 xml:space="preserve">Tijekom 2025. godine nabavljena je radna odjeća za </w:t>
      </w:r>
      <w:proofErr w:type="spellStart"/>
      <w:r>
        <w:t>zapšoslenike</w:t>
      </w:r>
      <w:proofErr w:type="spellEnd"/>
      <w:r>
        <w:t>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47.414,33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73.485,34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155,0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>Do povećanja rashoda na ovom kontu je došlo zbog povećanog obima izvršenih  geodetskih usluga. U 2024. godini izvršenoj je geodetskih usluga u vrijednosti 15.830,98 EUR, a u 2025. godini 39.722,25 EUR.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132.499,37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553.318,11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417,6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>Do povećanja rashoda na ovom kontu u odnosu na 2024. godinu je došlo zbog radova izgradnje rotora na LC 65032 u Sovlju.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132.499,37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553.318,11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417,6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>Do povećanja rashoda na ovom kontu u odnosu na 2024. godinu je došlo zbog radova izgradnje rotora na LC 65032 u Sovlju.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025B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2.721.430,95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1.912.694,99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70,3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>Višak prihoda i primitaka u 2025. godini je ostvaren u iznosu od 1.912.694,99 EUR i prenosi se u 2026. godinu.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1.614.073,33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649.052,41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40,2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 xml:space="preserve">Ostvareno je manje prihoda po ovoj osnovi iz razloga jer je iz MMPiI tijekom 2025.g </w:t>
      </w:r>
      <w:proofErr w:type="spellStart"/>
      <w:r>
        <w:t>uprihodovano</w:t>
      </w:r>
      <w:proofErr w:type="spellEnd"/>
      <w:r>
        <w:t xml:space="preserve"> 603.644,73 EUR ,dok je 2024. godine po ovoj osnovi ostvaren prihod od 1.614.073,33 EUR. Razlika je 1.010.428,60 EUR.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30.988,12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>Do povećanja potraživanja po ovoj osnovi došlo je zbog duga Stanica za tehnički pregled koji će biti naplaćen u siječnju 2026. godine.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14.021,36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278.018,90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1982,8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 xml:space="preserve">Obveze po ovoj osnovi u najvećoj mjeri se odnose na obveze prema dobavljačima radova (zadržava se 10% od svake situacije do okončanja radova i dostave garancije i po osnovi neplaćenih </w:t>
      </w:r>
      <w:proofErr w:type="spellStart"/>
      <w:r>
        <w:t>situacijia</w:t>
      </w:r>
      <w:proofErr w:type="spellEnd"/>
      <w:r>
        <w:t xml:space="preserve"> sa kraja 2025. godine). Obveze će biti podmirene tijekom prvo</w:t>
      </w:r>
      <w:r>
        <w:t xml:space="preserve">g </w:t>
      </w:r>
      <w:proofErr w:type="spellStart"/>
      <w:r>
        <w:t>tromjesječja</w:t>
      </w:r>
      <w:proofErr w:type="spellEnd"/>
      <w:r>
        <w:t>. 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dodatna ulaganja na nefinancijskoj imovini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14.021,36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277.919,15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1982,1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 xml:space="preserve">Obveze po ovoj osnovi u najvećoj mjeri se odnose na obveze prema dobavljačima radova (zadržava se 10% od svake situacije do okončanja radova i dostave garancije i po osnovi </w:t>
      </w:r>
      <w:r>
        <w:lastRenderedPageBreak/>
        <w:t xml:space="preserve">neplaćenih </w:t>
      </w:r>
      <w:proofErr w:type="spellStart"/>
      <w:r>
        <w:t>situacijia</w:t>
      </w:r>
      <w:proofErr w:type="spellEnd"/>
      <w:r>
        <w:t xml:space="preserve"> sa kraja 2025. godine). Obveze će biti podmirene tijekom prvo</w:t>
      </w:r>
      <w:r>
        <w:t xml:space="preserve">g </w:t>
      </w:r>
      <w:proofErr w:type="spellStart"/>
      <w:r>
        <w:t>tromjesječja</w:t>
      </w:r>
      <w:proofErr w:type="spellEnd"/>
      <w:r>
        <w:t>. 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025B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436.700,82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>Sve obveze će biti podmirene tijekom prvog tromjesečja 2026. godine.</w:t>
      </w:r>
    </w:p>
    <w:p w:rsidR="00025B95" w:rsidRDefault="00025B95"/>
    <w:p w:rsidR="00025B95" w:rsidRDefault="00EE2DE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25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B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025B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409.075,38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25B95" w:rsidRDefault="00EE2D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25B95" w:rsidRDefault="00025B95">
      <w:pPr>
        <w:spacing w:after="0"/>
      </w:pPr>
    </w:p>
    <w:p w:rsidR="00025B95" w:rsidRDefault="00EE2DED">
      <w:r>
        <w:t>Sve obveze će biti podmirene tijekom prvog tromjesečja 2026. godine.</w:t>
      </w:r>
    </w:p>
    <w:p w:rsidR="00025B95" w:rsidRDefault="00025B95"/>
    <w:sectPr w:rsidR="0002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95"/>
    <w:rsid w:val="00025B95"/>
    <w:rsid w:val="00E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236EC-307B-4BFB-B120-30005216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2026-02-13T08:24:00Z</dcterms:created>
  <dcterms:modified xsi:type="dcterms:W3CDTF">2026-02-13T08:24:00Z</dcterms:modified>
</cp:coreProperties>
</file>